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before="66"/>
        <w:ind w:left="0" w:firstLine="0"/>
        <w:jc w:val="center"/>
        <w:rPr>
          <w:sz w:val="28"/>
          <w:szCs w:val="28"/>
        </w:rPr>
      </w:pPr>
      <w:r>
        <w:rPr>
          <w:spacing w:val="-3"/>
          <w:sz w:val="28"/>
          <w:szCs w:val="28"/>
          <w:rtl w:val="0"/>
          <w:lang w:val="ru-RU"/>
        </w:rPr>
        <w:t>Муниципальное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3"/>
          <w:sz w:val="28"/>
          <w:szCs w:val="28"/>
          <w:rtl w:val="0"/>
          <w:lang w:val="ru-RU"/>
        </w:rPr>
        <w:t>бюджетное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3"/>
          <w:sz w:val="28"/>
          <w:szCs w:val="28"/>
          <w:rtl w:val="0"/>
          <w:lang w:val="ru-RU"/>
        </w:rPr>
        <w:t>общеобразовательное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3"/>
          <w:sz w:val="28"/>
          <w:szCs w:val="28"/>
          <w:rtl w:val="0"/>
          <w:lang w:val="ru-RU"/>
        </w:rPr>
        <w:t>учреждение</w:t>
      </w:r>
    </w:p>
    <w:p>
      <w:pPr>
        <w:pStyle w:val="Основной текст A"/>
        <w:tabs>
          <w:tab w:val="left" w:pos="3272"/>
          <w:tab w:val="left" w:pos="8849"/>
        </w:tabs>
        <w:spacing w:before="2"/>
        <w:ind w:left="0" w:firstLine="0"/>
        <w:jc w:val="center"/>
        <w:rPr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48577</wp:posOffset>
                </wp:positionH>
                <wp:positionV relativeFrom="line">
                  <wp:posOffset>190817</wp:posOffset>
                </wp:positionV>
                <wp:extent cx="5838825" cy="0"/>
                <wp:effectExtent l="0" t="0" r="0" b="0"/>
                <wp:wrapNone/>
                <wp:docPr id="1073741825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8pt;margin-top:15.0pt;width:459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pacing w:val="-3"/>
          <w:sz w:val="28"/>
          <w:szCs w:val="28"/>
          <w:rtl w:val="0"/>
          <w:lang w:val="ru-RU"/>
        </w:rPr>
        <w:t>«Средняя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3"/>
          <w:sz w:val="28"/>
          <w:szCs w:val="28"/>
          <w:rtl w:val="0"/>
          <w:lang w:val="ru-RU"/>
        </w:rPr>
        <w:t>общеобразовательная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школа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№</w:t>
      </w:r>
      <w:r>
        <w:rPr>
          <w:spacing w:val="-2"/>
          <w:sz w:val="28"/>
          <w:szCs w:val="28"/>
          <w:rtl w:val="0"/>
          <w:lang w:val="ru-RU"/>
        </w:rPr>
        <w:t>34</w:t>
      </w:r>
      <w:r>
        <w:rPr>
          <w:spacing w:val="-2"/>
          <w:sz w:val="28"/>
          <w:szCs w:val="28"/>
          <w:rtl w:val="0"/>
          <w:lang w:val="ru-RU"/>
        </w:rPr>
        <w:t>»</w:t>
      </w:r>
    </w:p>
    <w:p>
      <w:pPr>
        <w:pStyle w:val="Основной текст A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58102</wp:posOffset>
                </wp:positionH>
                <wp:positionV relativeFrom="line">
                  <wp:posOffset>32702</wp:posOffset>
                </wp:positionV>
                <wp:extent cx="5838825" cy="0"/>
                <wp:effectExtent l="0" t="0" r="0" b="0"/>
                <wp:wrapNone/>
                <wp:docPr id="107374182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.6pt;margin-top:2.6pt;width:459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Сведения о количестве мест в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х классах на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учебный год</w:t>
      </w: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75"/>
              </w:tabs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ab/>
              <w:t xml:space="preserve">Количество комплектуемых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 классов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75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мест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7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7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150</w:t>
            </w:r>
          </w:p>
        </w:tc>
      </w:tr>
    </w:tbl>
    <w:p>
      <w:pPr>
        <w:pStyle w:val="Обычный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02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